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E17861" w:rsidP="00276601">
      <w:pPr>
        <w:spacing w:line="480" w:lineRule="auto"/>
        <w:ind w:firstLine="720"/>
        <w:jc w:val="center"/>
        <w:rPr>
          <w:rFonts w:ascii="Times New Roman" w:hAnsi="Times New Roman" w:cs="Times New Roman"/>
          <w:sz w:val="24"/>
          <w:szCs w:val="24"/>
        </w:rPr>
      </w:pPr>
      <w:r w:rsidRPr="00276601">
        <w:rPr>
          <w:rFonts w:ascii="Times New Roman" w:hAnsi="Times New Roman" w:cs="Times New Roman"/>
          <w:sz w:val="24"/>
          <w:szCs w:val="24"/>
        </w:rPr>
        <w:t>Name</w:t>
      </w:r>
    </w:p>
    <w:p w:rsidR="000D1A76" w:rsidRPr="00276601" w:rsidRDefault="00E17861" w:rsidP="00276601">
      <w:pPr>
        <w:spacing w:line="480" w:lineRule="auto"/>
        <w:ind w:firstLine="720"/>
        <w:jc w:val="center"/>
        <w:rPr>
          <w:rFonts w:ascii="Times New Roman" w:hAnsi="Times New Roman" w:cs="Times New Roman"/>
          <w:sz w:val="24"/>
          <w:szCs w:val="24"/>
        </w:rPr>
      </w:pPr>
      <w:r w:rsidRPr="00276601">
        <w:rPr>
          <w:rFonts w:ascii="Times New Roman" w:hAnsi="Times New Roman" w:cs="Times New Roman"/>
          <w:sz w:val="24"/>
          <w:szCs w:val="24"/>
        </w:rPr>
        <w:t>Institution</w:t>
      </w:r>
    </w:p>
    <w:p w:rsidR="000D1A76" w:rsidRPr="00276601" w:rsidRDefault="00E17861" w:rsidP="00276601">
      <w:pPr>
        <w:spacing w:line="480" w:lineRule="auto"/>
        <w:ind w:firstLine="720"/>
        <w:jc w:val="center"/>
        <w:rPr>
          <w:rFonts w:ascii="Times New Roman" w:hAnsi="Times New Roman" w:cs="Times New Roman"/>
          <w:sz w:val="24"/>
          <w:szCs w:val="24"/>
        </w:rPr>
      </w:pPr>
      <w:r w:rsidRPr="00276601">
        <w:rPr>
          <w:rFonts w:ascii="Times New Roman" w:hAnsi="Times New Roman" w:cs="Times New Roman"/>
          <w:sz w:val="24"/>
          <w:szCs w:val="24"/>
        </w:rPr>
        <w:t>Course</w:t>
      </w:r>
    </w:p>
    <w:p w:rsidR="000D1A76" w:rsidRPr="00276601" w:rsidRDefault="00E17861" w:rsidP="00276601">
      <w:pPr>
        <w:spacing w:line="480" w:lineRule="auto"/>
        <w:ind w:firstLine="720"/>
        <w:jc w:val="center"/>
        <w:rPr>
          <w:rFonts w:ascii="Times New Roman" w:hAnsi="Times New Roman" w:cs="Times New Roman"/>
          <w:sz w:val="24"/>
          <w:szCs w:val="24"/>
        </w:rPr>
      </w:pPr>
      <w:r w:rsidRPr="00276601">
        <w:rPr>
          <w:rFonts w:ascii="Times New Roman" w:hAnsi="Times New Roman" w:cs="Times New Roman"/>
          <w:sz w:val="24"/>
          <w:szCs w:val="24"/>
        </w:rPr>
        <w:t>Date</w:t>
      </w:r>
    </w:p>
    <w:p w:rsidR="00C92B7E" w:rsidRPr="00276601" w:rsidRDefault="00C92B7E" w:rsidP="00276601">
      <w:pPr>
        <w:spacing w:line="480" w:lineRule="auto"/>
        <w:ind w:firstLine="720"/>
        <w:jc w:val="both"/>
        <w:rPr>
          <w:rFonts w:ascii="Times New Roman" w:hAnsi="Times New Roman" w:cs="Times New Roman"/>
          <w:sz w:val="24"/>
          <w:szCs w:val="24"/>
        </w:rPr>
      </w:pPr>
    </w:p>
    <w:p w:rsidR="00C92B7E" w:rsidRPr="00276601" w:rsidRDefault="00C92B7E" w:rsidP="00276601">
      <w:pPr>
        <w:spacing w:line="480" w:lineRule="auto"/>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Pr="00276601" w:rsidRDefault="00E17861" w:rsidP="00276601">
      <w:pPr>
        <w:spacing w:line="480" w:lineRule="auto"/>
        <w:ind w:firstLine="720"/>
        <w:jc w:val="center"/>
        <w:rPr>
          <w:rFonts w:ascii="Times New Roman" w:hAnsi="Times New Roman" w:cs="Times New Roman"/>
          <w:b/>
          <w:sz w:val="24"/>
          <w:szCs w:val="24"/>
        </w:rPr>
      </w:pPr>
      <w:r w:rsidRPr="00276601">
        <w:rPr>
          <w:rFonts w:ascii="Times New Roman" w:hAnsi="Times New Roman" w:cs="Times New Roman"/>
          <w:b/>
          <w:sz w:val="24"/>
          <w:szCs w:val="24"/>
        </w:rPr>
        <w:lastRenderedPageBreak/>
        <w:t>People v. Gutierrez</w:t>
      </w:r>
    </w:p>
    <w:p w:rsidR="00AF31B7"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Probation can be referred to as the release of a criminal from imprisonment, which is done in subject to duration of recommendable conduct which has been under supervision</w:t>
      </w:r>
      <w:r w:rsidR="00276601" w:rsidRPr="00276601">
        <w:rPr>
          <w:rFonts w:ascii="Times New Roman" w:hAnsi="Times New Roman" w:cs="Times New Roman"/>
          <w:sz w:val="24"/>
          <w:szCs w:val="24"/>
        </w:rPr>
        <w:t xml:space="preserve">. </w:t>
      </w:r>
      <w:r w:rsidR="00605FC1" w:rsidRPr="00276601">
        <w:rPr>
          <w:rFonts w:ascii="Times New Roman" w:hAnsi="Times New Roman" w:cs="Times New Roman"/>
          <w:sz w:val="24"/>
          <w:szCs w:val="24"/>
        </w:rPr>
        <w:t>On the other hand, parole can be defined as the permanent or temporary release of an offender from the custody before his or her sentence expires, on the promise of good behavior.</w:t>
      </w:r>
    </w:p>
    <w:p w:rsidR="006D1279"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 xml:space="preserve">In </w:t>
      </w:r>
      <w:r w:rsidR="004C1BAE" w:rsidRPr="00276601">
        <w:rPr>
          <w:rFonts w:ascii="Times New Roman" w:hAnsi="Times New Roman" w:cs="Times New Roman"/>
          <w:sz w:val="24"/>
          <w:szCs w:val="24"/>
        </w:rPr>
        <w:t>People v. Gutierrez</w:t>
      </w:r>
      <w:r w:rsidR="00B825A7" w:rsidRPr="00276601">
        <w:rPr>
          <w:rFonts w:ascii="Times New Roman" w:hAnsi="Times New Roman" w:cs="Times New Roman"/>
          <w:sz w:val="24"/>
          <w:szCs w:val="24"/>
        </w:rPr>
        <w:t>, Paul</w:t>
      </w:r>
      <w:r w:rsidRPr="00276601">
        <w:rPr>
          <w:rFonts w:ascii="Times New Roman" w:hAnsi="Times New Roman" w:cs="Times New Roman"/>
          <w:sz w:val="24"/>
          <w:szCs w:val="24"/>
        </w:rPr>
        <w:t xml:space="preserve"> Gutierrez, the defendant, is </w:t>
      </w:r>
      <w:r w:rsidR="00BA6FFB" w:rsidRPr="00276601">
        <w:rPr>
          <w:rFonts w:ascii="Times New Roman" w:hAnsi="Times New Roman" w:cs="Times New Roman"/>
          <w:sz w:val="24"/>
          <w:szCs w:val="24"/>
        </w:rPr>
        <w:t xml:space="preserve">tried by the court after having waived a jury. In the first degree, Paul Gutierrez is found guilty of murder, making him be given a death sentence. </w:t>
      </w:r>
      <w:r w:rsidR="00A85DD5" w:rsidRPr="00276601">
        <w:rPr>
          <w:rFonts w:ascii="Times New Roman" w:hAnsi="Times New Roman" w:cs="Times New Roman"/>
          <w:sz w:val="24"/>
          <w:szCs w:val="24"/>
        </w:rPr>
        <w:t xml:space="preserve"> However, in this case, the defendant is charged with the </w:t>
      </w:r>
      <w:r w:rsidR="00571E8C" w:rsidRPr="00276601">
        <w:rPr>
          <w:rFonts w:ascii="Times New Roman" w:hAnsi="Times New Roman" w:cs="Times New Roman"/>
          <w:sz w:val="24"/>
          <w:szCs w:val="24"/>
        </w:rPr>
        <w:t>murder of</w:t>
      </w:r>
      <w:r w:rsidR="00A85DD5" w:rsidRPr="00276601">
        <w:rPr>
          <w:rFonts w:ascii="Times New Roman" w:hAnsi="Times New Roman" w:cs="Times New Roman"/>
          <w:sz w:val="24"/>
          <w:szCs w:val="24"/>
        </w:rPr>
        <w:t xml:space="preserve"> Josephine Yanez, of which he pleaded he was not guilty of the murder because he was out of his mind by the time of the murder. However, his plead was not considered because, </w:t>
      </w:r>
      <w:r w:rsidR="00571E8C" w:rsidRPr="00276601">
        <w:rPr>
          <w:rFonts w:ascii="Times New Roman" w:hAnsi="Times New Roman" w:cs="Times New Roman"/>
          <w:sz w:val="24"/>
          <w:szCs w:val="24"/>
        </w:rPr>
        <w:t xml:space="preserve">according to the evidence and the findings obtained from the investigation, </w:t>
      </w:r>
      <w:r w:rsidR="00A85DD5" w:rsidRPr="00276601">
        <w:rPr>
          <w:rFonts w:ascii="Times New Roman" w:hAnsi="Times New Roman" w:cs="Times New Roman"/>
          <w:sz w:val="24"/>
          <w:szCs w:val="24"/>
        </w:rPr>
        <w:t xml:space="preserve">the killing was considered </w:t>
      </w:r>
      <w:r w:rsidR="000D1A76" w:rsidRPr="00276601">
        <w:rPr>
          <w:rFonts w:ascii="Times New Roman" w:hAnsi="Times New Roman" w:cs="Times New Roman"/>
          <w:sz w:val="24"/>
          <w:szCs w:val="24"/>
        </w:rPr>
        <w:t>premeditated (</w:t>
      </w:r>
      <w:r w:rsidR="000D1A76" w:rsidRPr="00276601">
        <w:rPr>
          <w:rFonts w:ascii="Times New Roman" w:hAnsi="Times New Roman" w:cs="Times New Roman"/>
          <w:sz w:val="24"/>
          <w:szCs w:val="24"/>
          <w:shd w:val="clear" w:color="auto" w:fill="FFFFFF"/>
        </w:rPr>
        <w:t xml:space="preserve">Liu </w:t>
      </w:r>
      <w:r w:rsidR="000D1A76" w:rsidRPr="00276601">
        <w:rPr>
          <w:rFonts w:ascii="Times New Roman" w:hAnsi="Times New Roman" w:cs="Times New Roman"/>
          <w:i/>
          <w:sz w:val="24"/>
          <w:szCs w:val="24"/>
          <w:shd w:val="clear" w:color="auto" w:fill="FFFFFF"/>
        </w:rPr>
        <w:t xml:space="preserve">et al., </w:t>
      </w:r>
      <w:r w:rsidR="000D1A76" w:rsidRPr="00276601">
        <w:rPr>
          <w:rFonts w:ascii="Times New Roman" w:hAnsi="Times New Roman" w:cs="Times New Roman"/>
          <w:sz w:val="24"/>
          <w:szCs w:val="24"/>
          <w:shd w:val="clear" w:color="auto" w:fill="FFFFFF"/>
        </w:rPr>
        <w:t>2014).</w:t>
      </w:r>
    </w:p>
    <w:p w:rsidR="003E189D"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Moreover, the defendant, Paul Gutierrez, is found guilty of the child's death, which resulted from the commission of or the effort of committing the crime of rape. This is supported by the evidence that discloses that Paul Gutierrez undressed the child before carrying her off across the field.  He also helps responsible for the child's death because, according to the testimony, the child was treated so brutally. After all, the defendant tried to satisfy personal desires when he undressed the child.</w:t>
      </w:r>
      <w:r w:rsidR="00F324E2" w:rsidRPr="00276601">
        <w:rPr>
          <w:rFonts w:ascii="Times New Roman" w:hAnsi="Times New Roman" w:cs="Times New Roman"/>
          <w:sz w:val="24"/>
          <w:szCs w:val="24"/>
        </w:rPr>
        <w:t xml:space="preserve"> The court proceedings continued to take place despite the defendant's plea through his attorneys to withdraw the case of not guilty. The case ends up with the defendant, Paul Gutierrez, being probated. This is because his examination testimony, which was provided by his three psychiatrists, proved that he was insane by the time he committed the murder. He had to be granted a fair trial in the cou</w:t>
      </w:r>
      <w:r w:rsidR="000D1A76" w:rsidRPr="00276601">
        <w:rPr>
          <w:rFonts w:ascii="Times New Roman" w:hAnsi="Times New Roman" w:cs="Times New Roman"/>
          <w:sz w:val="24"/>
          <w:szCs w:val="24"/>
        </w:rPr>
        <w:t>rt by being probated</w:t>
      </w:r>
      <w:r w:rsidR="000D1A76" w:rsidRPr="00276601">
        <w:rPr>
          <w:rFonts w:ascii="Times New Roman" w:hAnsi="Times New Roman" w:cs="Times New Roman"/>
          <w:sz w:val="24"/>
          <w:szCs w:val="24"/>
          <w:shd w:val="clear" w:color="auto" w:fill="FFFFFF"/>
        </w:rPr>
        <w:t xml:space="preserve"> (Viglione, 2015).</w:t>
      </w:r>
    </w:p>
    <w:p w:rsidR="004C1BAE" w:rsidRPr="00276601" w:rsidRDefault="00E17861" w:rsidP="00276601">
      <w:pPr>
        <w:spacing w:line="480" w:lineRule="auto"/>
        <w:ind w:firstLine="720"/>
        <w:jc w:val="center"/>
        <w:rPr>
          <w:rFonts w:ascii="Times New Roman" w:hAnsi="Times New Roman" w:cs="Times New Roman"/>
          <w:b/>
          <w:sz w:val="24"/>
          <w:szCs w:val="24"/>
        </w:rPr>
      </w:pPr>
      <w:r w:rsidRPr="00276601">
        <w:rPr>
          <w:rFonts w:ascii="Times New Roman" w:hAnsi="Times New Roman" w:cs="Times New Roman"/>
          <w:b/>
          <w:sz w:val="24"/>
          <w:szCs w:val="24"/>
        </w:rPr>
        <w:lastRenderedPageBreak/>
        <w:t>People v. Cervantes</w:t>
      </w:r>
    </w:p>
    <w:p w:rsidR="004C1BAE"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 xml:space="preserve">In this case, the defendant is appealing for conviction </w:t>
      </w:r>
      <w:r w:rsidR="007951D8" w:rsidRPr="00276601">
        <w:rPr>
          <w:rFonts w:ascii="Times New Roman" w:hAnsi="Times New Roman" w:cs="Times New Roman"/>
          <w:sz w:val="24"/>
          <w:szCs w:val="24"/>
        </w:rPr>
        <w:t>judgment that was</w:t>
      </w:r>
      <w:r w:rsidRPr="00276601">
        <w:rPr>
          <w:rFonts w:ascii="Times New Roman" w:hAnsi="Times New Roman" w:cs="Times New Roman"/>
          <w:sz w:val="24"/>
          <w:szCs w:val="24"/>
        </w:rPr>
        <w:t xml:space="preserve"> entered due to a jury verdict that found him guilty of selling and possessing narcotics without being permitted</w:t>
      </w:r>
      <w:r w:rsidR="00C9208D" w:rsidRPr="00276601">
        <w:rPr>
          <w:rFonts w:ascii="Times New Roman" w:hAnsi="Times New Roman" w:cs="Times New Roman"/>
          <w:sz w:val="24"/>
          <w:szCs w:val="24"/>
        </w:rPr>
        <w:t xml:space="preserve"> by the law. </w:t>
      </w:r>
      <w:r w:rsidR="00F000C6" w:rsidRPr="00276601">
        <w:rPr>
          <w:rFonts w:ascii="Times New Roman" w:hAnsi="Times New Roman" w:cs="Times New Roman"/>
          <w:sz w:val="24"/>
          <w:szCs w:val="24"/>
        </w:rPr>
        <w:t xml:space="preserve"> Besides, the defendant is priory charged with offending of desecration of the code restricting the selling and the possession of drugs, a charge which he agreed to be accountable for. According to the evidence, it is true that George Alarcon, who is an undercover investigator, investigated the trafficking of narcotics in Kings County. The defendant is said to have </w:t>
      </w:r>
      <w:r w:rsidR="000460CB" w:rsidRPr="00276601">
        <w:rPr>
          <w:rFonts w:ascii="Times New Roman" w:hAnsi="Times New Roman" w:cs="Times New Roman"/>
          <w:sz w:val="24"/>
          <w:szCs w:val="24"/>
        </w:rPr>
        <w:t>sold three cigarettes of marijuana and revealed that he was also expecting to be supplied with other narcotics soon. He was going supply some to Alarcon once the narcotics arrive.</w:t>
      </w:r>
    </w:p>
    <w:p w:rsidR="008C59B0"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 xml:space="preserve">The defendant is arrested by the police officers in his home in Corcoran, with Alarcon's help. The officers had a warrant which permitted them to search the house of the defendant, and it was found that the wallet of the defendant had three five-dollar bills </w:t>
      </w:r>
      <w:r w:rsidR="00443BF7" w:rsidRPr="00276601">
        <w:rPr>
          <w:rFonts w:ascii="Times New Roman" w:hAnsi="Times New Roman" w:cs="Times New Roman"/>
          <w:sz w:val="24"/>
          <w:szCs w:val="24"/>
        </w:rPr>
        <w:t xml:space="preserve">which had similar serial number </w:t>
      </w:r>
      <w:r w:rsidR="00FB7837" w:rsidRPr="00276601">
        <w:rPr>
          <w:rFonts w:ascii="Times New Roman" w:hAnsi="Times New Roman" w:cs="Times New Roman"/>
          <w:sz w:val="24"/>
          <w:szCs w:val="24"/>
        </w:rPr>
        <w:t>resembling</w:t>
      </w:r>
      <w:r w:rsidR="00443BF7" w:rsidRPr="00276601">
        <w:rPr>
          <w:rFonts w:ascii="Times New Roman" w:hAnsi="Times New Roman" w:cs="Times New Roman"/>
          <w:sz w:val="24"/>
          <w:szCs w:val="24"/>
        </w:rPr>
        <w:t xml:space="preserve"> the ones given to Alarcon by the officers, which were found to be coated with </w:t>
      </w:r>
      <w:r w:rsidRPr="00276601">
        <w:rPr>
          <w:rFonts w:ascii="Times New Roman" w:hAnsi="Times New Roman" w:cs="Times New Roman"/>
          <w:sz w:val="24"/>
          <w:szCs w:val="24"/>
        </w:rPr>
        <w:t xml:space="preserve">phosphorescent substances according to the conducted test. </w:t>
      </w:r>
    </w:p>
    <w:p w:rsidR="008C59B0"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 xml:space="preserve">The defendant objected to how the search warrant was executed because no evidence coincided if his search proved the trial. Also, he denied that he was not aware of any marijuana which was possessed or sold. He also denied that he did not involve himself in selling narcotics to Robio. The defendant lists punctuation, </w:t>
      </w:r>
      <w:r w:rsidR="00A33647" w:rsidRPr="00276601">
        <w:rPr>
          <w:rFonts w:ascii="Times New Roman" w:hAnsi="Times New Roman" w:cs="Times New Roman"/>
          <w:sz w:val="24"/>
          <w:szCs w:val="24"/>
        </w:rPr>
        <w:t>in</w:t>
      </w:r>
      <w:r w:rsidRPr="00276601">
        <w:rPr>
          <w:rFonts w:ascii="Times New Roman" w:hAnsi="Times New Roman" w:cs="Times New Roman"/>
          <w:sz w:val="24"/>
          <w:szCs w:val="24"/>
        </w:rPr>
        <w:t xml:space="preserve"> his case defensive, the defendant lists punctuation, errors in spelling as well as other negligible </w:t>
      </w:r>
      <w:r w:rsidR="00A33647" w:rsidRPr="00276601">
        <w:rPr>
          <w:rFonts w:ascii="Times New Roman" w:hAnsi="Times New Roman" w:cs="Times New Roman"/>
          <w:sz w:val="24"/>
          <w:szCs w:val="24"/>
        </w:rPr>
        <w:t xml:space="preserve">errors </w:t>
      </w:r>
      <w:r w:rsidR="00FB7837" w:rsidRPr="00276601">
        <w:rPr>
          <w:rFonts w:ascii="Times New Roman" w:hAnsi="Times New Roman" w:cs="Times New Roman"/>
          <w:sz w:val="24"/>
          <w:szCs w:val="24"/>
        </w:rPr>
        <w:t xml:space="preserve">in the record.  This revealed that none related to any material or point in the case. They also proved that they were not enough to prejudice the defendant or require a judgment reversal.  It shows that the defendant was sentenced upon liberal </w:t>
      </w:r>
      <w:r w:rsidR="00FB7837" w:rsidRPr="00276601">
        <w:rPr>
          <w:rFonts w:ascii="Times New Roman" w:hAnsi="Times New Roman" w:cs="Times New Roman"/>
          <w:sz w:val="24"/>
          <w:szCs w:val="24"/>
        </w:rPr>
        <w:lastRenderedPageBreak/>
        <w:t>and enough evidence and was granted a fair trial whereby no pre</w:t>
      </w:r>
      <w:r w:rsidR="00276601" w:rsidRPr="00276601">
        <w:rPr>
          <w:rFonts w:ascii="Times New Roman" w:hAnsi="Times New Roman" w:cs="Times New Roman"/>
          <w:sz w:val="24"/>
          <w:szCs w:val="24"/>
        </w:rPr>
        <w:t xml:space="preserve">judicial error was </w:t>
      </w:r>
      <w:r w:rsidR="005958A9" w:rsidRPr="00276601">
        <w:rPr>
          <w:rFonts w:ascii="Times New Roman" w:hAnsi="Times New Roman" w:cs="Times New Roman"/>
          <w:sz w:val="24"/>
          <w:szCs w:val="24"/>
        </w:rPr>
        <w:t xml:space="preserve">committed </w:t>
      </w:r>
      <w:bookmarkStart w:id="0" w:name="_GoBack"/>
      <w:bookmarkEnd w:id="0"/>
      <w:r w:rsidR="005958A9" w:rsidRPr="00276601">
        <w:rPr>
          <w:rFonts w:ascii="Times New Roman" w:hAnsi="Times New Roman" w:cs="Times New Roman"/>
          <w:sz w:val="24"/>
          <w:szCs w:val="24"/>
        </w:rPr>
        <w:t>(</w:t>
      </w:r>
      <w:r w:rsidR="005958A9" w:rsidRPr="00276601">
        <w:rPr>
          <w:rFonts w:ascii="Times New Roman" w:hAnsi="Times New Roman" w:cs="Times New Roman"/>
          <w:sz w:val="24"/>
          <w:szCs w:val="24"/>
          <w:shd w:val="clear" w:color="auto" w:fill="FFFFFF"/>
        </w:rPr>
        <w:t>Herberman</w:t>
      </w:r>
      <w:r w:rsidR="00276601" w:rsidRPr="00276601">
        <w:rPr>
          <w:rFonts w:ascii="Times New Roman" w:hAnsi="Times New Roman" w:cs="Times New Roman"/>
          <w:sz w:val="24"/>
          <w:szCs w:val="24"/>
          <w:shd w:val="clear" w:color="auto" w:fill="FFFFFF"/>
        </w:rPr>
        <w:t xml:space="preserve"> </w:t>
      </w:r>
      <w:r w:rsidR="00276601" w:rsidRPr="00276601">
        <w:rPr>
          <w:rFonts w:ascii="Times New Roman" w:hAnsi="Times New Roman" w:cs="Times New Roman"/>
          <w:i/>
          <w:sz w:val="24"/>
          <w:szCs w:val="24"/>
          <w:shd w:val="clear" w:color="auto" w:fill="FFFFFF"/>
        </w:rPr>
        <w:t xml:space="preserve">et al., </w:t>
      </w:r>
      <w:r w:rsidR="00276601" w:rsidRPr="00276601">
        <w:rPr>
          <w:rFonts w:ascii="Times New Roman" w:hAnsi="Times New Roman" w:cs="Times New Roman"/>
          <w:sz w:val="24"/>
          <w:szCs w:val="24"/>
          <w:shd w:val="clear" w:color="auto" w:fill="FFFFFF"/>
        </w:rPr>
        <w:t>2014).</w:t>
      </w:r>
    </w:p>
    <w:p w:rsidR="000460CB" w:rsidRPr="00276601" w:rsidRDefault="00E17861" w:rsidP="00276601">
      <w:pPr>
        <w:spacing w:line="480" w:lineRule="auto"/>
        <w:ind w:firstLine="720"/>
        <w:jc w:val="both"/>
        <w:rPr>
          <w:rFonts w:ascii="Times New Roman" w:hAnsi="Times New Roman" w:cs="Times New Roman"/>
          <w:sz w:val="24"/>
          <w:szCs w:val="24"/>
        </w:rPr>
      </w:pPr>
      <w:r w:rsidRPr="00276601">
        <w:rPr>
          <w:rFonts w:ascii="Times New Roman" w:hAnsi="Times New Roman" w:cs="Times New Roman"/>
          <w:sz w:val="24"/>
          <w:szCs w:val="24"/>
        </w:rPr>
        <w:t xml:space="preserve">In my opinion, concerning People v. Gutierrez, I can say that the defendant, who is Paul Gutierrez, was responsible for Josephine and her child's death. He should have been held accountable for the act of raping the victims and also their death. The Jury should not have probated the defendant despite his psychiatrists' examination testimony saying that he was insane because he could be dangerous to other people. Also, he could take advantage of his mental status. </w:t>
      </w:r>
    </w:p>
    <w:p w:rsidR="000D1A76" w:rsidRDefault="000D1A76"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D61215" w:rsidRDefault="00D61215" w:rsidP="00276601">
      <w:pPr>
        <w:spacing w:line="480" w:lineRule="auto"/>
        <w:ind w:firstLine="720"/>
        <w:jc w:val="both"/>
        <w:rPr>
          <w:rFonts w:ascii="Times New Roman" w:hAnsi="Times New Roman" w:cs="Times New Roman"/>
          <w:sz w:val="24"/>
          <w:szCs w:val="24"/>
        </w:rPr>
      </w:pPr>
    </w:p>
    <w:p w:rsidR="00D61215" w:rsidRDefault="00D61215" w:rsidP="00276601">
      <w:pPr>
        <w:spacing w:line="480" w:lineRule="auto"/>
        <w:ind w:firstLine="720"/>
        <w:jc w:val="both"/>
        <w:rPr>
          <w:rFonts w:ascii="Times New Roman" w:hAnsi="Times New Roman" w:cs="Times New Roman"/>
          <w:sz w:val="24"/>
          <w:szCs w:val="24"/>
        </w:rPr>
      </w:pPr>
    </w:p>
    <w:p w:rsidR="00276601" w:rsidRDefault="00276601" w:rsidP="00276601">
      <w:pPr>
        <w:spacing w:line="480" w:lineRule="auto"/>
        <w:ind w:firstLine="720"/>
        <w:jc w:val="both"/>
        <w:rPr>
          <w:rFonts w:ascii="Times New Roman" w:hAnsi="Times New Roman" w:cs="Times New Roman"/>
          <w:sz w:val="24"/>
          <w:szCs w:val="24"/>
        </w:rPr>
      </w:pPr>
    </w:p>
    <w:p w:rsidR="00276601" w:rsidRPr="00276601" w:rsidRDefault="00276601" w:rsidP="00276601">
      <w:pPr>
        <w:spacing w:line="480" w:lineRule="auto"/>
        <w:ind w:firstLine="720"/>
        <w:jc w:val="both"/>
        <w:rPr>
          <w:rFonts w:ascii="Times New Roman" w:hAnsi="Times New Roman" w:cs="Times New Roman"/>
          <w:sz w:val="24"/>
          <w:szCs w:val="24"/>
        </w:rPr>
      </w:pPr>
    </w:p>
    <w:p w:rsidR="00276601" w:rsidRPr="00276601" w:rsidRDefault="00E17861" w:rsidP="00276601">
      <w:pPr>
        <w:spacing w:line="480" w:lineRule="auto"/>
        <w:ind w:firstLine="720"/>
        <w:jc w:val="center"/>
        <w:rPr>
          <w:rFonts w:ascii="Times New Roman" w:hAnsi="Times New Roman" w:cs="Times New Roman"/>
          <w:sz w:val="24"/>
          <w:szCs w:val="24"/>
        </w:rPr>
      </w:pPr>
      <w:r w:rsidRPr="00276601">
        <w:rPr>
          <w:rFonts w:ascii="Times New Roman" w:hAnsi="Times New Roman" w:cs="Times New Roman"/>
          <w:sz w:val="24"/>
          <w:szCs w:val="24"/>
        </w:rPr>
        <w:lastRenderedPageBreak/>
        <w:t>Reference</w:t>
      </w:r>
    </w:p>
    <w:p w:rsidR="00276601" w:rsidRPr="00276601" w:rsidRDefault="00E17861" w:rsidP="00276601">
      <w:pPr>
        <w:spacing w:line="480" w:lineRule="auto"/>
        <w:ind w:left="720" w:hanging="720"/>
        <w:jc w:val="both"/>
        <w:rPr>
          <w:rFonts w:ascii="Times New Roman" w:hAnsi="Times New Roman" w:cs="Times New Roman"/>
          <w:sz w:val="24"/>
          <w:szCs w:val="24"/>
          <w:shd w:val="clear" w:color="auto" w:fill="FFFFFF"/>
        </w:rPr>
      </w:pPr>
      <w:r w:rsidRPr="00276601">
        <w:rPr>
          <w:rFonts w:ascii="Times New Roman" w:hAnsi="Times New Roman" w:cs="Times New Roman"/>
          <w:sz w:val="24"/>
          <w:szCs w:val="24"/>
          <w:shd w:val="clear" w:color="auto" w:fill="FFFFFF"/>
        </w:rPr>
        <w:t>Herberman, E. J., &amp; Bonczar, T. P. (2014). Probation and parole in the United States, 2013. </w:t>
      </w:r>
      <w:r w:rsidRPr="00276601">
        <w:rPr>
          <w:rFonts w:ascii="Times New Roman" w:hAnsi="Times New Roman" w:cs="Times New Roman"/>
          <w:i/>
          <w:iCs/>
          <w:sz w:val="24"/>
          <w:szCs w:val="24"/>
          <w:shd w:val="clear" w:color="auto" w:fill="FFFFFF"/>
        </w:rPr>
        <w:t>Washington, DC: US Department of Justice Bureau of Justice Statistics, NCJ248029</w:t>
      </w:r>
      <w:r w:rsidRPr="00276601">
        <w:rPr>
          <w:rFonts w:ascii="Times New Roman" w:hAnsi="Times New Roman" w:cs="Times New Roman"/>
          <w:sz w:val="24"/>
          <w:szCs w:val="24"/>
          <w:shd w:val="clear" w:color="auto" w:fill="FFFFFF"/>
        </w:rPr>
        <w:t>.</w:t>
      </w:r>
    </w:p>
    <w:p w:rsidR="00276601" w:rsidRPr="00276601" w:rsidRDefault="00E17861" w:rsidP="00276601">
      <w:pPr>
        <w:spacing w:line="480" w:lineRule="auto"/>
        <w:ind w:left="720" w:hanging="720"/>
        <w:jc w:val="both"/>
        <w:rPr>
          <w:rFonts w:ascii="Times New Roman" w:hAnsi="Times New Roman" w:cs="Times New Roman"/>
          <w:sz w:val="24"/>
          <w:szCs w:val="24"/>
          <w:shd w:val="clear" w:color="auto" w:fill="FFFFFF"/>
        </w:rPr>
      </w:pPr>
      <w:r w:rsidRPr="00276601">
        <w:rPr>
          <w:rFonts w:ascii="Times New Roman" w:hAnsi="Times New Roman" w:cs="Times New Roman"/>
          <w:sz w:val="24"/>
          <w:szCs w:val="24"/>
          <w:shd w:val="clear" w:color="auto" w:fill="FFFFFF"/>
        </w:rPr>
        <w:t>Liu, J., Cantil-Sakauye, C. J., Werdegar, C., &amp; Kennard, J. J. (2014). People v. Gutierrez. </w:t>
      </w:r>
      <w:r w:rsidRPr="00276601">
        <w:rPr>
          <w:rFonts w:ascii="Times New Roman" w:hAnsi="Times New Roman" w:cs="Times New Roman"/>
          <w:i/>
          <w:iCs/>
          <w:sz w:val="24"/>
          <w:szCs w:val="24"/>
          <w:shd w:val="clear" w:color="auto" w:fill="FFFFFF"/>
        </w:rPr>
        <w:t>W. St. L. Rev.</w:t>
      </w:r>
      <w:r w:rsidRPr="00276601">
        <w:rPr>
          <w:rFonts w:ascii="Times New Roman" w:hAnsi="Times New Roman" w:cs="Times New Roman"/>
          <w:sz w:val="24"/>
          <w:szCs w:val="24"/>
          <w:shd w:val="clear" w:color="auto" w:fill="FFFFFF"/>
        </w:rPr>
        <w:t>, </w:t>
      </w:r>
      <w:r w:rsidRPr="00276601">
        <w:rPr>
          <w:rFonts w:ascii="Times New Roman" w:hAnsi="Times New Roman" w:cs="Times New Roman"/>
          <w:i/>
          <w:iCs/>
          <w:sz w:val="24"/>
          <w:szCs w:val="24"/>
          <w:shd w:val="clear" w:color="auto" w:fill="FFFFFF"/>
        </w:rPr>
        <w:t>42</w:t>
      </w:r>
      <w:r w:rsidRPr="00276601">
        <w:rPr>
          <w:rFonts w:ascii="Times New Roman" w:hAnsi="Times New Roman" w:cs="Times New Roman"/>
          <w:sz w:val="24"/>
          <w:szCs w:val="24"/>
          <w:shd w:val="clear" w:color="auto" w:fill="FFFFFF"/>
        </w:rPr>
        <w:t>, 359.</w:t>
      </w:r>
    </w:p>
    <w:p w:rsidR="00276601" w:rsidRPr="00276601" w:rsidRDefault="00E17861" w:rsidP="00276601">
      <w:pPr>
        <w:spacing w:line="480" w:lineRule="auto"/>
        <w:ind w:left="720" w:hanging="720"/>
        <w:jc w:val="both"/>
        <w:rPr>
          <w:rFonts w:ascii="Times New Roman" w:hAnsi="Times New Roman" w:cs="Times New Roman"/>
          <w:sz w:val="24"/>
          <w:szCs w:val="24"/>
          <w:shd w:val="clear" w:color="auto" w:fill="FFFFFF"/>
        </w:rPr>
      </w:pPr>
      <w:r w:rsidRPr="00276601">
        <w:rPr>
          <w:rFonts w:ascii="Times New Roman" w:hAnsi="Times New Roman" w:cs="Times New Roman"/>
          <w:sz w:val="24"/>
          <w:szCs w:val="24"/>
          <w:shd w:val="clear" w:color="auto" w:fill="FFFFFF"/>
        </w:rPr>
        <w:t>Viglione, J. (2015). Probation. </w:t>
      </w:r>
      <w:r w:rsidRPr="00276601">
        <w:rPr>
          <w:rFonts w:ascii="Times New Roman" w:hAnsi="Times New Roman" w:cs="Times New Roman"/>
          <w:i/>
          <w:iCs/>
          <w:sz w:val="24"/>
          <w:szCs w:val="24"/>
          <w:shd w:val="clear" w:color="auto" w:fill="FFFFFF"/>
        </w:rPr>
        <w:t>The Encyclopedia of Crime and Punishment</w:t>
      </w:r>
      <w:r w:rsidRPr="00276601">
        <w:rPr>
          <w:rFonts w:ascii="Times New Roman" w:hAnsi="Times New Roman" w:cs="Times New Roman"/>
          <w:sz w:val="24"/>
          <w:szCs w:val="24"/>
          <w:shd w:val="clear" w:color="auto" w:fill="FFFFFF"/>
        </w:rPr>
        <w:t>, 1-5.</w:t>
      </w:r>
    </w:p>
    <w:sectPr w:rsidR="00276601" w:rsidRPr="00276601" w:rsidSect="002766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F08" w:rsidRDefault="00F13F08">
      <w:pPr>
        <w:spacing w:after="0" w:line="240" w:lineRule="auto"/>
      </w:pPr>
      <w:r>
        <w:separator/>
      </w:r>
    </w:p>
  </w:endnote>
  <w:endnote w:type="continuationSeparator" w:id="0">
    <w:p w:rsidR="00F13F08" w:rsidRDefault="00F1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F08" w:rsidRDefault="00F13F08">
      <w:pPr>
        <w:spacing w:after="0" w:line="240" w:lineRule="auto"/>
      </w:pPr>
      <w:r>
        <w:separator/>
      </w:r>
    </w:p>
  </w:footnote>
  <w:footnote w:type="continuationSeparator" w:id="0">
    <w:p w:rsidR="00F13F08" w:rsidRDefault="00F13F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3593018"/>
      <w:docPartObj>
        <w:docPartGallery w:val="Page Numbers (Top of Page)"/>
        <w:docPartUnique/>
      </w:docPartObj>
    </w:sdtPr>
    <w:sdtEndPr>
      <w:rPr>
        <w:noProof/>
      </w:rPr>
    </w:sdtEndPr>
    <w:sdtContent>
      <w:p w:rsidR="00276601" w:rsidRDefault="00E17861">
        <w:pPr>
          <w:pStyle w:val="Header"/>
          <w:jc w:val="right"/>
        </w:pPr>
        <w:r>
          <w:t>PROBATION AND PAROLE</w:t>
        </w:r>
        <w:r>
          <w:tab/>
        </w:r>
        <w:r>
          <w:tab/>
        </w:r>
        <w:r>
          <w:fldChar w:fldCharType="begin"/>
        </w:r>
        <w:r>
          <w:instrText xml:space="preserve"> PAGE   \* MERGEFORMAT </w:instrText>
        </w:r>
        <w:r>
          <w:fldChar w:fldCharType="separate"/>
        </w:r>
        <w:r w:rsidR="005958A9">
          <w:rPr>
            <w:noProof/>
          </w:rPr>
          <w:t>4</w:t>
        </w:r>
        <w:r>
          <w:rPr>
            <w:noProof/>
          </w:rPr>
          <w:fldChar w:fldCharType="end"/>
        </w:r>
      </w:p>
    </w:sdtContent>
  </w:sdt>
  <w:p w:rsidR="00276601" w:rsidRDefault="002766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601" w:rsidRPr="00276601" w:rsidRDefault="00E17861">
    <w:pPr>
      <w:pStyle w:val="Header"/>
      <w:rPr>
        <w:rFonts w:ascii="Times New Roman" w:hAnsi="Times New Roman" w:cs="Times New Roman"/>
        <w:sz w:val="24"/>
        <w:szCs w:val="24"/>
      </w:rPr>
    </w:pPr>
    <w:r w:rsidRPr="00276601">
      <w:rPr>
        <w:rFonts w:ascii="Times New Roman" w:hAnsi="Times New Roman" w:cs="Times New Roman"/>
        <w:sz w:val="24"/>
        <w:szCs w:val="24"/>
      </w:rPr>
      <w:t>Running Head: PROBATION AND PAROLE</w:t>
    </w:r>
    <w:r w:rsidRPr="00276601">
      <w:rPr>
        <w:rFonts w:ascii="Times New Roman" w:hAnsi="Times New Roman" w:cs="Times New Roman"/>
        <w:sz w:val="24"/>
        <w:szCs w:val="24"/>
      </w:rPr>
      <w:tab/>
    </w:r>
    <w:r w:rsidRPr="00276601">
      <w:rPr>
        <w:rFonts w:ascii="Times New Roman" w:hAnsi="Times New Roman" w:cs="Times New Roman"/>
        <w:sz w:val="24"/>
        <w:szCs w:val="24"/>
      </w:rPr>
      <w:tab/>
    </w:r>
    <w:r w:rsidRPr="0027660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B7"/>
    <w:rsid w:val="000460CB"/>
    <w:rsid w:val="000D1A76"/>
    <w:rsid w:val="00173A88"/>
    <w:rsid w:val="001F6CC6"/>
    <w:rsid w:val="00276601"/>
    <w:rsid w:val="002B0E4C"/>
    <w:rsid w:val="003C6B45"/>
    <w:rsid w:val="003E189D"/>
    <w:rsid w:val="00443BF7"/>
    <w:rsid w:val="004C1BAE"/>
    <w:rsid w:val="00571E8C"/>
    <w:rsid w:val="005958A9"/>
    <w:rsid w:val="00605FC1"/>
    <w:rsid w:val="006D1279"/>
    <w:rsid w:val="007951D8"/>
    <w:rsid w:val="00831C12"/>
    <w:rsid w:val="008C59B0"/>
    <w:rsid w:val="00A33647"/>
    <w:rsid w:val="00A85DD5"/>
    <w:rsid w:val="00AF31B7"/>
    <w:rsid w:val="00B825A7"/>
    <w:rsid w:val="00BA6FFB"/>
    <w:rsid w:val="00C9208D"/>
    <w:rsid w:val="00C92B7E"/>
    <w:rsid w:val="00D61215"/>
    <w:rsid w:val="00E17861"/>
    <w:rsid w:val="00F000C6"/>
    <w:rsid w:val="00F13F08"/>
    <w:rsid w:val="00F324E2"/>
    <w:rsid w:val="00FB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DBCB6-3B2D-4231-9799-1F062081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601"/>
  </w:style>
  <w:style w:type="paragraph" w:styleId="Footer">
    <w:name w:val="footer"/>
    <w:basedOn w:val="Normal"/>
    <w:link w:val="FooterChar"/>
    <w:uiPriority w:val="99"/>
    <w:unhideWhenUsed/>
    <w:rsid w:val="00276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cp:revision>
  <dcterms:created xsi:type="dcterms:W3CDTF">2020-10-13T22:22:00Z</dcterms:created>
  <dcterms:modified xsi:type="dcterms:W3CDTF">2020-10-13T22:22:00Z</dcterms:modified>
</cp:coreProperties>
</file>